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725" w:rsidRPr="00E83228" w:rsidRDefault="000D1725" w:rsidP="000D1725">
      <w:pPr>
        <w:pStyle w:val="Heading1"/>
        <w:jc w:val="center"/>
        <w:rPr>
          <w:rFonts w:cs="Arial"/>
        </w:rPr>
      </w:pPr>
      <w:bookmarkStart w:id="0" w:name="_Toc462922897"/>
      <w:r>
        <w:rPr>
          <w:rFonts w:cs="Arial"/>
        </w:rPr>
        <w:t>Appendix C</w:t>
      </w:r>
      <w:r w:rsidRPr="00E83228">
        <w:rPr>
          <w:rFonts w:cs="Arial"/>
        </w:rPr>
        <w:t>:</w:t>
      </w:r>
      <w:r>
        <w:rPr>
          <w:rFonts w:cs="Arial"/>
        </w:rPr>
        <w:t xml:space="preserve"> </w:t>
      </w:r>
      <w:r w:rsidRPr="00E83228">
        <w:rPr>
          <w:rFonts w:cs="Arial"/>
        </w:rPr>
        <w:t>Examining Scheme</w:t>
      </w:r>
      <w:bookmarkEnd w:id="0"/>
    </w:p>
    <w:p w:rsidR="000D1725" w:rsidRDefault="000D1725" w:rsidP="000D1725">
      <w:pPr>
        <w:pStyle w:val="Title"/>
        <w:spacing w:before="240"/>
        <w:rPr>
          <w:rFonts w:cs="Arial"/>
          <w:sz w:val="22"/>
          <w:szCs w:val="22"/>
        </w:rPr>
      </w:pPr>
      <w:r w:rsidRPr="006B02F2">
        <w:rPr>
          <w:rFonts w:cs="Arial"/>
          <w:sz w:val="22"/>
          <w:szCs w:val="22"/>
        </w:rPr>
        <w:t xml:space="preserve">MPhil in Development Studies </w:t>
      </w:r>
      <w:r>
        <w:rPr>
          <w:rFonts w:cs="Arial"/>
          <w:sz w:val="22"/>
          <w:szCs w:val="22"/>
        </w:rPr>
        <w:t>2017–2018</w:t>
      </w:r>
      <w:r>
        <w:rPr>
          <w:rFonts w:cs="Arial"/>
          <w:sz w:val="22"/>
          <w:szCs w:val="22"/>
        </w:rPr>
        <w:br/>
      </w:r>
      <w:r w:rsidRPr="00113F98">
        <w:rPr>
          <w:rFonts w:cs="Arial"/>
          <w:sz w:val="22"/>
          <w:szCs w:val="22"/>
        </w:rPr>
        <w:t>Examining Scheme</w:t>
      </w:r>
    </w:p>
    <w:p w:rsidR="000D1725" w:rsidRPr="000E0A4F" w:rsidRDefault="000D1725" w:rsidP="000D1725">
      <w:pPr>
        <w:spacing w:before="240"/>
        <w:ind w:left="360"/>
        <w:rPr>
          <w:rFonts w:cs="Arial"/>
          <w:i/>
        </w:rPr>
      </w:pPr>
      <w:r w:rsidRPr="006B02F2">
        <w:rPr>
          <w:rFonts w:cs="Arial"/>
          <w:i/>
        </w:rPr>
        <w:t>* This document may be amended at the meeti</w:t>
      </w:r>
      <w:r>
        <w:rPr>
          <w:rFonts w:cs="Arial"/>
          <w:i/>
        </w:rPr>
        <w:t>ng of examiners in January, 2017</w:t>
      </w:r>
    </w:p>
    <w:p w:rsidR="000D1725" w:rsidRPr="006B02F2" w:rsidRDefault="000D1725" w:rsidP="000D1725">
      <w:pPr>
        <w:pStyle w:val="Header"/>
        <w:tabs>
          <w:tab w:val="clear" w:pos="4153"/>
          <w:tab w:val="clear" w:pos="8306"/>
        </w:tabs>
        <w:spacing w:before="240"/>
        <w:rPr>
          <w:rFonts w:cs="Arial"/>
        </w:rPr>
      </w:pPr>
    </w:p>
    <w:p w:rsidR="000D1725" w:rsidRPr="000E0A4F" w:rsidRDefault="000D1725" w:rsidP="000D1725">
      <w:pPr>
        <w:ind w:left="567" w:hanging="567"/>
        <w:rPr>
          <w:b/>
        </w:rPr>
      </w:pPr>
      <w:r>
        <w:rPr>
          <w:b/>
        </w:rPr>
        <w:t>1.</w:t>
      </w:r>
      <w:r>
        <w:rPr>
          <w:b/>
        </w:rPr>
        <w:tab/>
        <w:t>Assessment of individual papers</w:t>
      </w:r>
    </w:p>
    <w:p w:rsidR="000D1725" w:rsidRDefault="000D1725" w:rsidP="000D1725">
      <w:pPr>
        <w:pStyle w:val="BodyTextIndent2"/>
        <w:tabs>
          <w:tab w:val="clear" w:pos="2268"/>
        </w:tabs>
        <w:ind w:left="0" w:firstLine="0"/>
      </w:pPr>
      <w:r>
        <w:t xml:space="preserve">1.1. </w:t>
      </w:r>
      <w:r>
        <w:tab/>
        <w:t>In order to pass in any paper, a candidate must attain a standard equivalent to that for upper second class honours in a Part II Tripos examination, extrapolated as appropriate to reflect a further year of study. That standard shall be recorded as a mark of 60 percent.</w:t>
      </w:r>
    </w:p>
    <w:p w:rsidR="000D1725" w:rsidRDefault="000D1725" w:rsidP="000D1725">
      <w:pPr>
        <w:ind w:left="567" w:hanging="567"/>
      </w:pPr>
    </w:p>
    <w:p w:rsidR="000D1725" w:rsidRDefault="000D1725" w:rsidP="000D1725">
      <w:pPr>
        <w:pStyle w:val="BodyTextIndent2"/>
        <w:tabs>
          <w:tab w:val="clear" w:pos="2268"/>
        </w:tabs>
        <w:ind w:left="0" w:firstLine="0"/>
      </w:pPr>
      <w:r>
        <w:t xml:space="preserve">1.2. </w:t>
      </w:r>
      <w:r>
        <w:tab/>
        <w:t>Each paper shall be marked independently by two examiners, and they shall submit an agreed mark. Where examiners are unable to agree a mark, they shall inform the Chairman of the Board of Examiners of their separate marks, who, in consultation with the External Examiner, shall determine the mark to be presented to the Examiners' Meeting.</w:t>
      </w:r>
    </w:p>
    <w:p w:rsidR="000D1725" w:rsidRDefault="000D1725" w:rsidP="000D1725">
      <w:pPr>
        <w:ind w:left="567" w:hanging="567"/>
      </w:pPr>
    </w:p>
    <w:p w:rsidR="000D1725" w:rsidRDefault="000D1725" w:rsidP="000D1725">
      <w:pPr>
        <w:ind w:left="567" w:hanging="567"/>
      </w:pPr>
      <w:r>
        <w:t xml:space="preserve">1.3. </w:t>
      </w:r>
      <w:r>
        <w:tab/>
        <w:t>For these purposes a dissertation is a paper.</w:t>
      </w:r>
    </w:p>
    <w:p w:rsidR="000D1725" w:rsidRDefault="000D1725" w:rsidP="000D1725">
      <w:pPr>
        <w:ind w:left="567" w:hanging="567"/>
      </w:pPr>
    </w:p>
    <w:p w:rsidR="000D1725" w:rsidRDefault="000D1725" w:rsidP="000D1725">
      <w:pPr>
        <w:ind w:left="567" w:hanging="567"/>
      </w:pPr>
      <w:r>
        <w:rPr>
          <w:b/>
          <w:bCs/>
        </w:rPr>
        <w:t xml:space="preserve"> 2.</w:t>
      </w:r>
      <w:r>
        <w:tab/>
      </w:r>
      <w:r>
        <w:rPr>
          <w:b/>
        </w:rPr>
        <w:t>Assessment for the degree as a whole</w:t>
      </w:r>
    </w:p>
    <w:p w:rsidR="000D1725" w:rsidRDefault="000D1725" w:rsidP="000D1725">
      <w:r>
        <w:t>A candidate shall be deemed to have satisfied the examiners only if</w:t>
      </w:r>
    </w:p>
    <w:p w:rsidR="000D1725" w:rsidRDefault="000D1725" w:rsidP="000D1725">
      <w:pPr>
        <w:tabs>
          <w:tab w:val="left" w:pos="851"/>
        </w:tabs>
        <w:ind w:left="567" w:hanging="567"/>
      </w:pPr>
      <w:r>
        <w:tab/>
        <w:t>a) The candidate has passed in all four papers, or</w:t>
      </w:r>
    </w:p>
    <w:p w:rsidR="000D1725" w:rsidRDefault="000D1725" w:rsidP="000D1725">
      <w:pPr>
        <w:pStyle w:val="BodyTextIndent"/>
        <w:tabs>
          <w:tab w:val="clear" w:pos="567"/>
          <w:tab w:val="clear" w:pos="1418"/>
          <w:tab w:val="clear" w:pos="1560"/>
        </w:tabs>
        <w:ind w:left="567" w:firstLine="0"/>
      </w:pPr>
      <w:r>
        <w:t>b) Where a candidate has failed in one or more papers, he or she has attained an average mark of at least 60 percent.</w:t>
      </w:r>
    </w:p>
    <w:p w:rsidR="000D1725" w:rsidRDefault="000D1725" w:rsidP="000D1725">
      <w:pPr>
        <w:ind w:left="567" w:hanging="567"/>
      </w:pPr>
    </w:p>
    <w:p w:rsidR="000D1725" w:rsidRDefault="000D1725" w:rsidP="000D1725">
      <w:pPr>
        <w:ind w:left="567" w:hanging="567"/>
      </w:pPr>
      <w:r>
        <w:rPr>
          <w:b/>
        </w:rPr>
        <w:t>3.</w:t>
      </w:r>
      <w:r>
        <w:rPr>
          <w:b/>
        </w:rPr>
        <w:tab/>
        <w:t>Oral examination</w:t>
      </w:r>
    </w:p>
    <w:p w:rsidR="000D1725" w:rsidRDefault="000D1725" w:rsidP="000D1725">
      <w:pPr>
        <w:pStyle w:val="BodyTextIndent2"/>
        <w:tabs>
          <w:tab w:val="clear" w:pos="2268"/>
        </w:tabs>
        <w:ind w:left="0" w:firstLine="0"/>
      </w:pPr>
      <w:r>
        <w:t>The examiners may require a candidate to attend for an oral examination in such cases as they may determine. No candidate shall be deemed to have failed to satisfy the examiners unless such an opportunity has been offered. An oral examination shall be conducted by the External and such other examiners as the Chair shall determine in any case, and shall relate to one or more papers, and the general field of knowledge into which they fall.</w:t>
      </w:r>
    </w:p>
    <w:p w:rsidR="000D1725" w:rsidRDefault="000D1725" w:rsidP="000D1725">
      <w:pPr>
        <w:ind w:left="567" w:hanging="567"/>
      </w:pPr>
    </w:p>
    <w:p w:rsidR="000D1725" w:rsidRDefault="000D1725" w:rsidP="000D1725">
      <w:pPr>
        <w:ind w:left="567" w:hanging="567"/>
        <w:rPr>
          <w:b/>
        </w:rPr>
      </w:pPr>
    </w:p>
    <w:p w:rsidR="000D1725" w:rsidRDefault="000D1725" w:rsidP="000D1725">
      <w:pPr>
        <w:ind w:left="567" w:hanging="567"/>
        <w:rPr>
          <w:b/>
        </w:rPr>
      </w:pPr>
    </w:p>
    <w:p w:rsidR="000D1725" w:rsidRDefault="000D1725" w:rsidP="000D1725">
      <w:pPr>
        <w:ind w:left="567" w:hanging="567"/>
        <w:rPr>
          <w:b/>
        </w:rPr>
      </w:pPr>
    </w:p>
    <w:p w:rsidR="000D1725" w:rsidRDefault="000D1725" w:rsidP="000D1725">
      <w:pPr>
        <w:ind w:left="567" w:hanging="567"/>
        <w:rPr>
          <w:b/>
        </w:rPr>
      </w:pPr>
      <w:r>
        <w:rPr>
          <w:b/>
        </w:rPr>
        <w:t>4.</w:t>
      </w:r>
      <w:r>
        <w:rPr>
          <w:b/>
        </w:rPr>
        <w:tab/>
        <w:t>High Pass and Distinction</w:t>
      </w:r>
    </w:p>
    <w:p w:rsidR="000D1725" w:rsidRDefault="000D1725" w:rsidP="000D1725">
      <w:pPr>
        <w:jc w:val="both"/>
        <w:rPr>
          <w:bCs/>
        </w:rPr>
      </w:pPr>
      <w:r>
        <w:t xml:space="preserve">These are not official categories and do not appear on the Degree Certificate. </w:t>
      </w:r>
      <w:r>
        <w:rPr>
          <w:bCs/>
        </w:rPr>
        <w:t xml:space="preserve">However, the letter which the Chair of the Development Studies Committee sends to each candidate giving a breakdown of that candidate's marks will also indicate if the candidate has achieved a High Pass or a Distinction. </w:t>
      </w:r>
    </w:p>
    <w:p w:rsidR="000D1725" w:rsidRDefault="000D1725" w:rsidP="000D1725">
      <w:pPr>
        <w:ind w:left="567" w:hanging="567"/>
        <w:rPr>
          <w:bCs/>
        </w:rPr>
      </w:pPr>
    </w:p>
    <w:p w:rsidR="000D1725" w:rsidRDefault="000D1725" w:rsidP="000D1725">
      <w:pPr>
        <w:ind w:firstLine="567"/>
      </w:pPr>
      <w:r>
        <w:rPr>
          <w:bCs/>
        </w:rPr>
        <w:t>Hi</w:t>
      </w:r>
      <w:r>
        <w:t xml:space="preserve">gh Pass: </w:t>
      </w:r>
      <w:r>
        <w:tab/>
        <w:t>Average of 70 percent and above</w:t>
      </w:r>
    </w:p>
    <w:p w:rsidR="003735BC" w:rsidRDefault="000D1725" w:rsidP="000D1725">
      <w:pPr>
        <w:ind w:left="567" w:hanging="567"/>
      </w:pPr>
      <w:r>
        <w:tab/>
        <w:t>Distinction:</w:t>
      </w:r>
      <w:r>
        <w:tab/>
        <w:t xml:space="preserve">Average of 75 </w:t>
      </w:r>
      <w:r w:rsidRPr="009D6301">
        <w:t>percent</w:t>
      </w:r>
      <w:r>
        <w:t xml:space="preserve"> and above</w:t>
      </w:r>
      <w:bookmarkStart w:id="1" w:name="_GoBack"/>
      <w:bookmarkEnd w:id="1"/>
    </w:p>
    <w:sectPr w:rsidR="003735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725"/>
    <w:rsid w:val="000D1725"/>
    <w:rsid w:val="00373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849A9-8A0D-4847-9C60-DD599DF2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25"/>
    <w:pPr>
      <w:spacing w:after="120" w:line="360" w:lineRule="auto"/>
    </w:pPr>
    <w:rPr>
      <w:rFonts w:ascii="Arial" w:eastAsia="Times New Roman" w:hAnsi="Arial" w:cs="Times New Roman"/>
      <w:sz w:val="20"/>
      <w:szCs w:val="20"/>
    </w:rPr>
  </w:style>
  <w:style w:type="paragraph" w:styleId="Heading1">
    <w:name w:val="heading 1"/>
    <w:basedOn w:val="Normal"/>
    <w:next w:val="Normal"/>
    <w:link w:val="Heading1Char"/>
    <w:qFormat/>
    <w:rsid w:val="000D1725"/>
    <w:pPr>
      <w:keepNext/>
      <w:tabs>
        <w:tab w:val="left" w:pos="2268"/>
      </w:tabs>
      <w:spacing w:line="400" w:lineRule="exac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725"/>
    <w:rPr>
      <w:rFonts w:ascii="Arial" w:eastAsia="Times New Roman" w:hAnsi="Arial" w:cs="Times New Roman"/>
      <w:b/>
      <w:sz w:val="24"/>
      <w:szCs w:val="20"/>
    </w:rPr>
  </w:style>
  <w:style w:type="paragraph" w:styleId="Header">
    <w:name w:val="header"/>
    <w:basedOn w:val="Normal"/>
    <w:link w:val="HeaderChar"/>
    <w:uiPriority w:val="99"/>
    <w:rsid w:val="000D1725"/>
    <w:pPr>
      <w:tabs>
        <w:tab w:val="center" w:pos="4153"/>
        <w:tab w:val="right" w:pos="8306"/>
      </w:tabs>
    </w:pPr>
  </w:style>
  <w:style w:type="character" w:customStyle="1" w:styleId="HeaderChar">
    <w:name w:val="Header Char"/>
    <w:basedOn w:val="DefaultParagraphFont"/>
    <w:link w:val="Header"/>
    <w:uiPriority w:val="99"/>
    <w:rsid w:val="000D1725"/>
    <w:rPr>
      <w:rFonts w:ascii="Arial" w:eastAsia="Times New Roman" w:hAnsi="Arial" w:cs="Times New Roman"/>
      <w:sz w:val="20"/>
      <w:szCs w:val="20"/>
    </w:rPr>
  </w:style>
  <w:style w:type="paragraph" w:styleId="BodyTextIndent">
    <w:name w:val="Body Text Indent"/>
    <w:basedOn w:val="Normal"/>
    <w:link w:val="BodyTextIndentChar"/>
    <w:rsid w:val="000D1725"/>
    <w:pPr>
      <w:tabs>
        <w:tab w:val="left" w:pos="567"/>
        <w:tab w:val="left" w:pos="1418"/>
        <w:tab w:val="left" w:pos="1560"/>
      </w:tabs>
      <w:ind w:left="1843" w:hanging="1843"/>
    </w:pPr>
  </w:style>
  <w:style w:type="character" w:customStyle="1" w:styleId="BodyTextIndentChar">
    <w:name w:val="Body Text Indent Char"/>
    <w:basedOn w:val="DefaultParagraphFont"/>
    <w:link w:val="BodyTextIndent"/>
    <w:rsid w:val="000D1725"/>
    <w:rPr>
      <w:rFonts w:ascii="Arial" w:eastAsia="Times New Roman" w:hAnsi="Arial" w:cs="Times New Roman"/>
      <w:sz w:val="20"/>
      <w:szCs w:val="20"/>
    </w:rPr>
  </w:style>
  <w:style w:type="paragraph" w:styleId="BodyTextIndent2">
    <w:name w:val="Body Text Indent 2"/>
    <w:basedOn w:val="Normal"/>
    <w:link w:val="BodyTextIndent2Char"/>
    <w:rsid w:val="000D1725"/>
    <w:pPr>
      <w:tabs>
        <w:tab w:val="left" w:pos="2268"/>
      </w:tabs>
      <w:ind w:left="2268" w:hanging="2268"/>
    </w:pPr>
  </w:style>
  <w:style w:type="character" w:customStyle="1" w:styleId="BodyTextIndent2Char">
    <w:name w:val="Body Text Indent 2 Char"/>
    <w:basedOn w:val="DefaultParagraphFont"/>
    <w:link w:val="BodyTextIndent2"/>
    <w:rsid w:val="000D1725"/>
    <w:rPr>
      <w:rFonts w:ascii="Arial" w:eastAsia="Times New Roman" w:hAnsi="Arial" w:cs="Times New Roman"/>
      <w:sz w:val="20"/>
      <w:szCs w:val="20"/>
    </w:rPr>
  </w:style>
  <w:style w:type="paragraph" w:styleId="Title">
    <w:name w:val="Title"/>
    <w:basedOn w:val="Normal"/>
    <w:link w:val="TitleChar"/>
    <w:qFormat/>
    <w:rsid w:val="000D1725"/>
    <w:pPr>
      <w:jc w:val="center"/>
    </w:pPr>
    <w:rPr>
      <w:b/>
      <w:sz w:val="32"/>
    </w:rPr>
  </w:style>
  <w:style w:type="character" w:customStyle="1" w:styleId="TitleChar">
    <w:name w:val="Title Char"/>
    <w:basedOn w:val="DefaultParagraphFont"/>
    <w:link w:val="Title"/>
    <w:rsid w:val="000D1725"/>
    <w:rPr>
      <w:rFonts w:ascii="Arial" w:eastAsia="Times New Roman" w:hAnsi="Arial"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Cantu</dc:creator>
  <cp:keywords/>
  <dc:description/>
  <cp:lastModifiedBy>Emma Cantu</cp:lastModifiedBy>
  <cp:revision>1</cp:revision>
  <dcterms:created xsi:type="dcterms:W3CDTF">2017-11-13T11:25:00Z</dcterms:created>
  <dcterms:modified xsi:type="dcterms:W3CDTF">2017-11-13T11:26:00Z</dcterms:modified>
</cp:coreProperties>
</file>